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CF4B3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Calibri"/>
          <w:noProof w:val="0"/>
          <w:lang w:val="en-US"/>
        </w:rPr>
      </w:pPr>
    </w:p>
    <w:p w14:paraId="0D547031" w14:textId="1ED6C2C3" w:rsidR="00FF3974" w:rsidRPr="002B39E3" w:rsidRDefault="002B39E3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bCs/>
          <w:noProof w:val="0"/>
          <w:color w:val="181818"/>
          <w:u w:color="181818"/>
          <w:lang w:val="en-US"/>
        </w:rPr>
      </w:pPr>
      <w:r w:rsidRPr="002B39E3">
        <w:rPr>
          <w:rFonts w:ascii="Calibri" w:hAnsi="Calibri" w:cs="Helvetica"/>
          <w:b/>
          <w:bCs/>
          <w:noProof w:val="0"/>
          <w:color w:val="181818"/>
          <w:u w:color="181818"/>
          <w:lang w:val="en-US"/>
        </w:rPr>
        <w:t>BREXIT POLICY ROUND-UP AUGUST 2018</w:t>
      </w:r>
    </w:p>
    <w:p w14:paraId="7B60B055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</w:pPr>
    </w:p>
    <w:p w14:paraId="4759B759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</w:pPr>
      <w:r w:rsidRPr="00B83167"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  <w:t>The Future Relationship Between the United Kingdom and the European Union</w:t>
      </w:r>
    </w:p>
    <w:p w14:paraId="57DB9E95" w14:textId="0E4B93B2" w:rsidR="00FF3974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 On 6th August, LGiU published a</w:t>
      </w:r>
      <w:r w:rsidR="002B39E3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 briefing </w:t>
      </w: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analysing and summarising the government’s </w:t>
      </w:r>
      <w:hyperlink r:id="rId5" w:history="1">
        <w:r w:rsidRPr="002B39E3">
          <w:rPr>
            <w:rStyle w:val="Hyperlink"/>
            <w:rFonts w:ascii="Calibri" w:hAnsi="Calibri" w:cs="Helvetica"/>
            <w:noProof w:val="0"/>
            <w:u w:color="2699D7"/>
            <w:lang w:val="en-US"/>
          </w:rPr>
          <w:t>Brexit white paper</w:t>
        </w:r>
        <w:r w:rsidRPr="002B39E3">
          <w:rPr>
            <w:rStyle w:val="Hyperlink"/>
            <w:rFonts w:ascii="Calibri" w:hAnsi="Calibri" w:cs="Helvetica"/>
            <w:noProof w:val="0"/>
            <w:u w:color="181818"/>
            <w:lang w:val="en-US"/>
          </w:rPr>
          <w:t>.</w:t>
        </w:r>
      </w:hyperlink>
    </w:p>
    <w:p w14:paraId="1F5F9E63" w14:textId="77777777" w:rsidR="00B83167" w:rsidRPr="00B83167" w:rsidRDefault="00B83167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</w:p>
    <w:p w14:paraId="2FFA6558" w14:textId="77777777" w:rsidR="002B39E3" w:rsidRDefault="00B83167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>
        <w:rPr>
          <w:rFonts w:ascii="Calibri" w:hAnsi="Calibri" w:cs="Helvetica"/>
          <w:noProof w:val="0"/>
          <w:color w:val="181818"/>
          <w:u w:color="181818"/>
          <w:lang w:val="en-US"/>
        </w:rPr>
        <w:t> </w:t>
      </w:r>
      <w:r w:rsidR="00FF3974" w:rsidRPr="00B83167"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  <w:t>How to prepare if the UK leaves the EU with no deal</w:t>
      </w:r>
      <w:r w:rsidR="00FF3974"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 </w:t>
      </w:r>
    </w:p>
    <w:p w14:paraId="324BF0CA" w14:textId="6CD55BD5" w:rsidR="00FF3974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On 23rd August, government departments coordinated by DExEU published </w:t>
      </w:r>
      <w:hyperlink r:id="rId6" w:history="1">
        <w:r w:rsidRPr="002B39E3">
          <w:rPr>
            <w:rStyle w:val="Hyperlink"/>
            <w:rFonts w:ascii="Calibri" w:hAnsi="Calibri" w:cs="Helvetica"/>
            <w:noProof w:val="0"/>
            <w:u w:color="2699D7"/>
            <w:lang w:val="en-US"/>
          </w:rPr>
          <w:t>25 documents</w:t>
        </w:r>
        <w:r w:rsidRPr="002B39E3">
          <w:rPr>
            <w:rStyle w:val="Hyperlink"/>
            <w:rFonts w:ascii="Calibri" w:hAnsi="Calibri" w:cs="Helvetica"/>
            <w:noProof w:val="0"/>
            <w:u w:color="181818"/>
            <w:lang w:val="en-US"/>
          </w:rPr>
          <w:t xml:space="preserve"> </w:t>
        </w:r>
      </w:hyperlink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providing guidance on how to prepare for Brexit if there's no deal. These technical notes cover: applying for EU-funded programmes; civil nuclear and nuclear research; farming; importing and exporting; labelling products; money and tax; regulating medicines and medical equipment; state aid; studying in the UK or EU; and workplace rights.  </w:t>
      </w:r>
    </w:p>
    <w:p w14:paraId="26615166" w14:textId="77777777" w:rsidR="00B83167" w:rsidRPr="00B83167" w:rsidRDefault="00B83167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</w:p>
    <w:p w14:paraId="7E7C6BA0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  <w:t>EU Settlement Scheme: employer toolkit</w:t>
      </w: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 </w:t>
      </w:r>
    </w:p>
    <w:p w14:paraId="0639D476" w14:textId="3431FFD6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On 25th July, the Home Office and UKVI published a </w:t>
      </w:r>
      <w:hyperlink r:id="rId7" w:history="1">
        <w:r w:rsidRPr="00B83167">
          <w:rPr>
            <w:rFonts w:ascii="Calibri" w:hAnsi="Calibri" w:cs="Helvetica"/>
            <w:noProof w:val="0"/>
            <w:color w:val="2699D7"/>
            <w:u w:val="single" w:color="2699D7"/>
            <w:lang w:val="en-US"/>
          </w:rPr>
          <w:t>toolkit</w:t>
        </w:r>
      </w:hyperlink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 for employers to enable them to support EU citizens and their families with information on the EU Settlement Scheme. The toolkit contains leaflets, posters and a briefing pack to help employers across the UK communicate clear and consistent messages about the EU Settlement Scheme.</w:t>
      </w:r>
    </w:p>
    <w:p w14:paraId="739865BE" w14:textId="77777777" w:rsidR="00B83167" w:rsidRDefault="00B83167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>
        <w:rPr>
          <w:rFonts w:ascii="Calibri" w:hAnsi="Calibri" w:cs="Helvetica"/>
          <w:noProof w:val="0"/>
          <w:color w:val="181818"/>
          <w:u w:color="181818"/>
          <w:lang w:val="en-US"/>
        </w:rPr>
        <w:t> </w:t>
      </w:r>
    </w:p>
    <w:p w14:paraId="388410AD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</w:pPr>
      <w:r w:rsidRPr="00B83167"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  <w:t>No Deal and Local Government</w:t>
      </w:r>
    </w:p>
    <w:p w14:paraId="3D8090FE" w14:textId="230ADC7A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On 17th August, the LGA published a </w:t>
      </w:r>
      <w:hyperlink r:id="rId8" w:history="1">
        <w:r w:rsidRPr="002B39E3">
          <w:rPr>
            <w:rStyle w:val="Hyperlink"/>
            <w:rFonts w:ascii="Calibri" w:hAnsi="Calibri" w:cs="Helvetica"/>
            <w:noProof w:val="0"/>
            <w:u w:color="2699D7"/>
            <w:lang w:val="en-US"/>
          </w:rPr>
          <w:t>briefing</w:t>
        </w:r>
        <w:r w:rsidRPr="002B39E3">
          <w:rPr>
            <w:rStyle w:val="Hyperlink"/>
            <w:rFonts w:ascii="Calibri" w:hAnsi="Calibri" w:cs="Helvetica"/>
            <w:noProof w:val="0"/>
            <w:u w:color="181818"/>
            <w:lang w:val="en-US"/>
          </w:rPr>
          <w:t> </w:t>
        </w:r>
      </w:hyperlink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offering the headline issues for local government under a ‘no deal’ scenario and advising Government on the key issues that would need to be addressed through national action.  </w:t>
      </w:r>
    </w:p>
    <w:p w14:paraId="08473971" w14:textId="77777777" w:rsidR="00B83167" w:rsidRDefault="00B83167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</w:pPr>
    </w:p>
    <w:p w14:paraId="2F735D5F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  <w:t>The status of "retained EU Law"</w:t>
      </w: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 </w:t>
      </w:r>
    </w:p>
    <w:p w14:paraId="77D1DDA0" w14:textId="7049F5FE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On 31st July, the House of Commons Library published a </w:t>
      </w:r>
      <w:hyperlink r:id="rId9" w:history="1">
        <w:r w:rsidRPr="00B83167">
          <w:rPr>
            <w:rFonts w:ascii="Calibri" w:hAnsi="Calibri" w:cs="Helvetica"/>
            <w:noProof w:val="0"/>
            <w:color w:val="2699D7"/>
            <w:u w:val="single" w:color="2699D7"/>
            <w:lang w:val="en-US"/>
          </w:rPr>
          <w:t>briefing</w:t>
        </w:r>
      </w:hyperlink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 looking at the status of ‘retained EU law’ post Brexit, who can change it and how.   </w:t>
      </w:r>
    </w:p>
    <w:p w14:paraId="49303457" w14:textId="77777777" w:rsidR="00B83167" w:rsidRDefault="00B83167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</w:pPr>
    </w:p>
    <w:p w14:paraId="5954D920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  <w:t>Policy options for future migration from the European Economic Area</w:t>
      </w: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 </w:t>
      </w:r>
    </w:p>
    <w:p w14:paraId="271A9391" w14:textId="74ADFBB1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On 31st July, the Home Affairs Select Committee published a </w:t>
      </w:r>
      <w:hyperlink r:id="rId10" w:history="1">
        <w:r w:rsidRPr="002B39E3">
          <w:rPr>
            <w:rStyle w:val="Hyperlink"/>
            <w:rFonts w:ascii="Calibri" w:hAnsi="Calibri" w:cs="Helvetica"/>
            <w:noProof w:val="0"/>
            <w:u w:color="2699D7"/>
            <w:lang w:val="en-US"/>
          </w:rPr>
          <w:t>report</w:t>
        </w:r>
        <w:r w:rsidRPr="002B39E3">
          <w:rPr>
            <w:rStyle w:val="Hyperlink"/>
            <w:rFonts w:ascii="Calibri" w:hAnsi="Calibri" w:cs="Helvetica"/>
            <w:noProof w:val="0"/>
            <w:u w:color="181818"/>
            <w:lang w:val="en-US"/>
          </w:rPr>
          <w:t xml:space="preserve"> </w:t>
        </w:r>
      </w:hyperlink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on post-Brexit migration and the need to build consensus on migration reform.   </w:t>
      </w:r>
    </w:p>
    <w:p w14:paraId="419BED94" w14:textId="77777777" w:rsidR="00B83167" w:rsidRDefault="00B83167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</w:pPr>
    </w:p>
    <w:p w14:paraId="15F620AF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  <w:t>Devolution and Exiting the EU: reconciling differences and building strong relationships</w:t>
      </w: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 </w:t>
      </w:r>
    </w:p>
    <w:p w14:paraId="1E508BDA" w14:textId="6A8508C5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On 31st July, the Public Administration and Constitutional Affairs Select Committee published a </w:t>
      </w:r>
      <w:hyperlink r:id="rId11" w:history="1">
        <w:r w:rsidRPr="002B39E3">
          <w:rPr>
            <w:rStyle w:val="Hyperlink"/>
            <w:rFonts w:ascii="Calibri" w:hAnsi="Calibri" w:cs="Helvetica"/>
            <w:noProof w:val="0"/>
            <w:u w:color="2699D7"/>
            <w:lang w:val="en-US"/>
          </w:rPr>
          <w:t>report</w:t>
        </w:r>
        <w:r w:rsidRPr="002B39E3">
          <w:rPr>
            <w:rStyle w:val="Hyperlink"/>
            <w:rFonts w:ascii="Calibri" w:hAnsi="Calibri" w:cs="Helvetica"/>
            <w:noProof w:val="0"/>
            <w:u w:color="181818"/>
            <w:lang w:val="en-US"/>
          </w:rPr>
          <w:t xml:space="preserve"> </w:t>
        </w:r>
      </w:hyperlink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calling on the government to set out a clear devolution policy for the Union after Brexit to build strong UK relationships.   </w:t>
      </w:r>
    </w:p>
    <w:p w14:paraId="1311FF77" w14:textId="77777777" w:rsidR="00B83167" w:rsidRDefault="00B83167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</w:pPr>
    </w:p>
    <w:p w14:paraId="348246D5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  <w:t>Brexit and the environment</w:t>
      </w: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 </w:t>
      </w:r>
    </w:p>
    <w:p w14:paraId="04E4219D" w14:textId="157F6CF8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On 8th August, the House of Commons Library published a </w:t>
      </w:r>
      <w:hyperlink r:id="rId12" w:history="1">
        <w:r w:rsidRPr="00B83167">
          <w:rPr>
            <w:rFonts w:ascii="Calibri" w:hAnsi="Calibri" w:cs="Helvetica"/>
            <w:noProof w:val="0"/>
            <w:color w:val="2699D7"/>
            <w:u w:val="single" w:color="2699D7"/>
            <w:lang w:val="en-US"/>
          </w:rPr>
          <w:t>briefing</w:t>
        </w:r>
      </w:hyperlink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 discussing current environmental law and policy in the UK and in the devolved nations; preparations for Brexit and potential impacts of Brexit; and actions and proposals being taken at a domestic level for both the UK and each of the nations in the UK.   </w:t>
      </w:r>
    </w:p>
    <w:p w14:paraId="3EEA3B68" w14:textId="77777777" w:rsidR="00B83167" w:rsidRDefault="00B83167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</w:pPr>
    </w:p>
    <w:p w14:paraId="3AF5E78A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  <w:t>Framework for the UK-EU partnership: Financial Services</w:t>
      </w: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 </w:t>
      </w:r>
    </w:p>
    <w:p w14:paraId="06C05C0C" w14:textId="5DC173C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On 20th August, DExEU published a </w:t>
      </w:r>
      <w:hyperlink r:id="rId13" w:history="1">
        <w:r w:rsidRPr="00B83167">
          <w:rPr>
            <w:rFonts w:ascii="Calibri" w:hAnsi="Calibri" w:cs="Helvetica"/>
            <w:noProof w:val="0"/>
            <w:color w:val="2699D7"/>
            <w:u w:val="single" w:color="2699D7"/>
            <w:lang w:val="en-US"/>
          </w:rPr>
          <w:t>presentation</w:t>
        </w:r>
      </w:hyperlink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 setting out the UK’s proposals for financial services.   </w:t>
      </w:r>
    </w:p>
    <w:p w14:paraId="1C97F3B4" w14:textId="77777777" w:rsidR="00B83167" w:rsidRDefault="00B83167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</w:pPr>
    </w:p>
    <w:p w14:paraId="0C6D14D7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Helvetica"/>
          <w:noProof w:val="0"/>
          <w:color w:val="181818"/>
          <w:u w:color="181818"/>
          <w:lang w:val="en-US"/>
        </w:rPr>
      </w:pPr>
      <w:r w:rsidRPr="00B83167">
        <w:rPr>
          <w:rFonts w:ascii="Calibri" w:hAnsi="Calibri" w:cs="Helvetica"/>
          <w:b/>
          <w:bCs/>
          <w:noProof w:val="0"/>
          <w:color w:val="181818"/>
          <w:u w:val="single" w:color="181818"/>
          <w:lang w:val="en-US"/>
        </w:rPr>
        <w:t>Framework for the UK-EU partnership: Open and fair competition</w:t>
      </w: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> </w:t>
      </w:r>
    </w:p>
    <w:p w14:paraId="4FC5246B" w14:textId="335FE481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Calibri"/>
          <w:noProof w:val="0"/>
          <w:u w:color="181818"/>
          <w:lang w:val="en-US"/>
        </w:rPr>
      </w:pPr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On 20th August, DExEU published a </w:t>
      </w:r>
      <w:hyperlink r:id="rId14" w:history="1">
        <w:r w:rsidRPr="00B83167">
          <w:rPr>
            <w:rFonts w:ascii="Calibri" w:hAnsi="Calibri" w:cs="Helvetica"/>
            <w:noProof w:val="0"/>
            <w:color w:val="2699D7"/>
            <w:u w:val="single" w:color="2699D7"/>
            <w:lang w:val="en-US"/>
          </w:rPr>
          <w:t>present</w:t>
        </w:r>
        <w:bookmarkStart w:id="0" w:name="_GoBack"/>
        <w:bookmarkEnd w:id="0"/>
        <w:r w:rsidRPr="00B83167">
          <w:rPr>
            <w:rFonts w:ascii="Calibri" w:hAnsi="Calibri" w:cs="Helvetica"/>
            <w:noProof w:val="0"/>
            <w:color w:val="2699D7"/>
            <w:u w:val="single" w:color="2699D7"/>
            <w:lang w:val="en-US"/>
          </w:rPr>
          <w:t>ation</w:t>
        </w:r>
      </w:hyperlink>
      <w:r w:rsidRPr="00B83167">
        <w:rPr>
          <w:rFonts w:ascii="Calibri" w:hAnsi="Calibri" w:cs="Helvetica"/>
          <w:noProof w:val="0"/>
          <w:color w:val="181818"/>
          <w:u w:color="181818"/>
          <w:lang w:val="en-US"/>
        </w:rPr>
        <w:t xml:space="preserve"> setting out the UK’s proposals for open and fair competition.</w:t>
      </w:r>
    </w:p>
    <w:p w14:paraId="5912EC12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Calibri"/>
          <w:noProof w:val="0"/>
          <w:u w:color="181818"/>
          <w:lang w:val="en-US"/>
        </w:rPr>
      </w:pPr>
      <w:r w:rsidRPr="00B83167">
        <w:rPr>
          <w:rFonts w:ascii="Calibri" w:hAnsi="Calibri" w:cs="Arial"/>
          <w:b/>
          <w:bCs/>
          <w:noProof w:val="0"/>
          <w:u w:color="181818"/>
          <w:lang w:val="en-US"/>
        </w:rPr>
        <w:t> </w:t>
      </w:r>
    </w:p>
    <w:p w14:paraId="45F74827" w14:textId="77777777" w:rsidR="00FF3974" w:rsidRPr="00B83167" w:rsidRDefault="00FF3974" w:rsidP="00FF3974">
      <w:pPr>
        <w:widowControl w:val="0"/>
        <w:autoSpaceDE w:val="0"/>
        <w:autoSpaceDN w:val="0"/>
        <w:adjustRightInd w:val="0"/>
        <w:rPr>
          <w:rFonts w:ascii="Calibri" w:hAnsi="Calibri" w:cs="Calibri"/>
          <w:noProof w:val="0"/>
          <w:u w:color="181818"/>
          <w:lang w:val="en-US"/>
        </w:rPr>
      </w:pPr>
      <w:r w:rsidRPr="00B83167">
        <w:rPr>
          <w:rFonts w:ascii="Calibri" w:hAnsi="Calibri" w:cs="Arial"/>
          <w:b/>
          <w:bCs/>
          <w:noProof w:val="0"/>
          <w:u w:color="181818"/>
          <w:lang w:val="en-US"/>
        </w:rPr>
        <w:t>Marco Dias</w:t>
      </w:r>
      <w:r w:rsidRPr="00B83167">
        <w:rPr>
          <w:rFonts w:ascii="Calibri" w:hAnsi="Calibri" w:cs="Arial"/>
          <w:noProof w:val="0"/>
          <w:u w:color="181818"/>
          <w:lang w:val="en-US"/>
        </w:rPr>
        <w:t> </w:t>
      </w:r>
    </w:p>
    <w:p w14:paraId="3A97E34C" w14:textId="77777777" w:rsidR="003E3133" w:rsidRPr="00B83167" w:rsidRDefault="00FF3974" w:rsidP="00FF3974">
      <w:pPr>
        <w:rPr>
          <w:rFonts w:ascii="Calibri" w:hAnsi="Calibri"/>
          <w:b/>
        </w:rPr>
      </w:pPr>
      <w:r w:rsidRPr="00B83167">
        <w:rPr>
          <w:rFonts w:ascii="Calibri" w:hAnsi="Calibri" w:cs="Arial"/>
          <w:b/>
          <w:noProof w:val="0"/>
          <w:u w:color="181818"/>
          <w:lang w:val="en-US"/>
        </w:rPr>
        <w:t>Buckinghamshire County Council</w:t>
      </w:r>
    </w:p>
    <w:sectPr w:rsidR="003E3133" w:rsidRPr="00B83167" w:rsidSect="002B39E3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74"/>
    <w:rsid w:val="002B39E3"/>
    <w:rsid w:val="003E3133"/>
    <w:rsid w:val="00AB2804"/>
    <w:rsid w:val="00B26493"/>
    <w:rsid w:val="00B83167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9B7C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character" w:styleId="Hyperlink">
    <w:name w:val="Hyperlink"/>
    <w:basedOn w:val="DefaultParagraphFont"/>
    <w:uiPriority w:val="99"/>
    <w:unhideWhenUsed/>
    <w:rsid w:val="002B39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9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character" w:styleId="Hyperlink">
    <w:name w:val="Hyperlink"/>
    <w:basedOn w:val="DefaultParagraphFont"/>
    <w:uiPriority w:val="99"/>
    <w:unhideWhenUsed/>
    <w:rsid w:val="002B39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parliament.uk/business/committees/committees-a-z/commons-select/public-administration-and-constitutional-affairs-committee/news-parliament-2017/devolution-brexit-report-published-17-19/" TargetMode="External"/><Relationship Id="rId12" Type="http://schemas.openxmlformats.org/officeDocument/2006/relationships/hyperlink" Target="https://researchbriefings.parliament.uk/ResearchBriefing/Summary/CBP-8132" TargetMode="External"/><Relationship Id="rId13" Type="http://schemas.openxmlformats.org/officeDocument/2006/relationships/hyperlink" Target="https://www.gov.uk/government/publications/framework-for-the-uk-eu-partnership-financial-services" TargetMode="External"/><Relationship Id="rId14" Type="http://schemas.openxmlformats.org/officeDocument/2006/relationships/hyperlink" Target="https://www.gov.uk/government/publications/framework-for-the-uk-eu-partnership-open-and-fair-competition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ssets.publishing.service.gov.uk/government/uploads/system/uploads/attachment_data/file/725288/The_future_relationship_between_the_United_Kingdom_and_the_European_Union.pdf" TargetMode="External"/><Relationship Id="rId6" Type="http://schemas.openxmlformats.org/officeDocument/2006/relationships/hyperlink" Target="https://www.gov.uk/government/collections/how-to-prepare-if-the-uk-leaves-the-eu-with-no-deal" TargetMode="External"/><Relationship Id="rId7" Type="http://schemas.openxmlformats.org/officeDocument/2006/relationships/hyperlink" Target="https://www.gov.uk/government/publications/eu-settlement-scheme-employer-toolkit" TargetMode="External"/><Relationship Id="rId8" Type="http://schemas.openxmlformats.org/officeDocument/2006/relationships/hyperlink" Target="https://www.local.gov.uk/parliament/briefings-and-responses/no-deal-and-local-government-briefing-august-2018" TargetMode="External"/><Relationship Id="rId9" Type="http://schemas.openxmlformats.org/officeDocument/2006/relationships/hyperlink" Target="https://researchbriefings.parliament.uk/ResearchBriefing/Summary/CBP-8375" TargetMode="External"/><Relationship Id="rId10" Type="http://schemas.openxmlformats.org/officeDocument/2006/relationships/hyperlink" Target="https://www.parliament.uk/business/committees/committees-a-z/commons-select/home-affairs-committee/news-parliament-2017/post-brexit-migration-report-published-17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616</Words>
  <Characters>3512</Characters>
  <Application>Microsoft Macintosh Word</Application>
  <DocSecurity>0</DocSecurity>
  <Lines>29</Lines>
  <Paragraphs>8</Paragraphs>
  <ScaleCrop>false</ScaleCrop>
  <Company>Bus Users UK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Parkins</dc:creator>
  <cp:keywords/>
  <dc:description/>
  <cp:lastModifiedBy>Nicola Parkins</cp:lastModifiedBy>
  <cp:revision>4</cp:revision>
  <dcterms:created xsi:type="dcterms:W3CDTF">2018-09-03T10:04:00Z</dcterms:created>
  <dcterms:modified xsi:type="dcterms:W3CDTF">2018-09-03T10:16:00Z</dcterms:modified>
</cp:coreProperties>
</file>