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74" w:rsidRPr="00B13D4D" w:rsidRDefault="00D36A74" w:rsidP="00D36A74">
      <w:pPr>
        <w:rPr>
          <w:rFonts w:ascii="Myriad Pro" w:hAnsi="Myriad Pro" w:cs="Arial"/>
          <w:sz w:val="24"/>
        </w:rPr>
      </w:pPr>
      <w:bookmarkStart w:id="0" w:name="_GoBack"/>
      <w:bookmarkEnd w:id="0"/>
      <w:r w:rsidRPr="00B13D4D">
        <w:rPr>
          <w:rFonts w:ascii="Myriad Pro" w:hAnsi="Myriad Pro" w:cs="Arial"/>
          <w:sz w:val="24"/>
        </w:rPr>
        <w:t>South Gloucestershire Council</w:t>
      </w:r>
    </w:p>
    <w:p w:rsidR="00D36A74" w:rsidRPr="00D36A74" w:rsidRDefault="00D36A74" w:rsidP="00D36A74">
      <w:pPr>
        <w:jc w:val="both"/>
        <w:rPr>
          <w:rFonts w:ascii="Myriad Pro" w:hAnsi="Myriad Pro" w:cs="Arial"/>
        </w:rPr>
      </w:pPr>
      <w:r w:rsidRPr="00D36A74">
        <w:rPr>
          <w:rFonts w:ascii="Myriad Pro" w:hAnsi="Myriad Pro" w:cs="Arial"/>
        </w:rPr>
        <w:t xml:space="preserve">Title: </w:t>
      </w:r>
      <w:r w:rsidRPr="000A2515">
        <w:rPr>
          <w:rFonts w:ascii="Myriad Pro" w:hAnsi="Myriad Pro" w:cs="Arial"/>
        </w:rPr>
        <w:t>Street Lighting</w:t>
      </w:r>
      <w:r>
        <w:rPr>
          <w:rFonts w:ascii="Myriad Pro" w:hAnsi="Myriad Pro" w:cs="Arial"/>
        </w:rPr>
        <w:t>:</w:t>
      </w:r>
      <w:r w:rsidRPr="000A2515"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the sustainable LED replacement p</w:t>
      </w:r>
      <w:r w:rsidRPr="000A2515">
        <w:rPr>
          <w:rFonts w:ascii="Myriad Pro" w:hAnsi="Myriad Pro" w:cs="Arial"/>
        </w:rPr>
        <w:t>rogramme</w:t>
      </w:r>
    </w:p>
    <w:p w:rsidR="00D36A74" w:rsidRDefault="00D36A74">
      <w:pPr>
        <w:rPr>
          <w:rFonts w:ascii="Myriad Pro" w:hAnsi="Myriad Pro" w:cs="Arial"/>
          <w:b/>
        </w:rPr>
      </w:pPr>
    </w:p>
    <w:p w:rsidR="006A0D7E" w:rsidRPr="00B13D4D" w:rsidRDefault="00124252">
      <w:pPr>
        <w:rPr>
          <w:rFonts w:ascii="Myriad Pro" w:hAnsi="Myriad Pro" w:cs="Arial"/>
          <w:b/>
        </w:rPr>
      </w:pPr>
      <w:r w:rsidRPr="00B13D4D">
        <w:rPr>
          <w:rFonts w:ascii="Myriad Pro" w:hAnsi="Myriad Pro" w:cs="Arial"/>
          <w:b/>
        </w:rPr>
        <w:t>Category 1: Delivering Clean Growth</w:t>
      </w:r>
    </w:p>
    <w:p w:rsidR="00FB0D7B" w:rsidRDefault="00FB0D7B">
      <w:pPr>
        <w:rPr>
          <w:rStyle w:val="fontstyle01"/>
        </w:rPr>
      </w:pPr>
    </w:p>
    <w:p w:rsidR="00264761" w:rsidRPr="00B13D4D" w:rsidRDefault="00264761" w:rsidP="00264761">
      <w:pPr>
        <w:rPr>
          <w:rFonts w:ascii="Myriad Pro" w:hAnsi="Myriad Pro" w:cs="Arial"/>
          <w:b/>
        </w:rPr>
      </w:pPr>
      <w:r w:rsidRPr="00B13D4D">
        <w:rPr>
          <w:rFonts w:ascii="Myriad Pro" w:hAnsi="Myriad Pro" w:cs="Arial"/>
          <w:b/>
        </w:rPr>
        <w:t xml:space="preserve">One sentence summary (no more than 150 characters). </w:t>
      </w:r>
    </w:p>
    <w:p w:rsidR="00770FB9" w:rsidRDefault="000C0EA2">
      <w:pPr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The </w:t>
      </w:r>
      <w:r w:rsidR="000275CC">
        <w:rPr>
          <w:rFonts w:ascii="Myriad Pro" w:hAnsi="Myriad Pro" w:cs="Arial"/>
        </w:rPr>
        <w:t xml:space="preserve">sustainable </w:t>
      </w:r>
      <w:r>
        <w:rPr>
          <w:rFonts w:ascii="Myriad Pro" w:hAnsi="Myriad Pro" w:cs="Arial"/>
        </w:rPr>
        <w:t>benefits of a</w:t>
      </w:r>
      <w:r w:rsidR="00FB0D7B">
        <w:rPr>
          <w:rFonts w:ascii="Myriad Pro" w:hAnsi="Myriad Pro" w:cs="Arial"/>
        </w:rPr>
        <w:t>dopting a</w:t>
      </w:r>
      <w:r>
        <w:rPr>
          <w:rFonts w:ascii="Myriad Pro" w:hAnsi="Myriad Pro" w:cs="Arial"/>
        </w:rPr>
        <w:t xml:space="preserve"> </w:t>
      </w:r>
      <w:r w:rsidR="000275CC">
        <w:rPr>
          <w:rFonts w:ascii="Myriad Pro" w:hAnsi="Myriad Pro" w:cs="Arial"/>
        </w:rPr>
        <w:t xml:space="preserve">10 year programme </w:t>
      </w:r>
      <w:r>
        <w:rPr>
          <w:rFonts w:ascii="Myriad Pro" w:hAnsi="Myriad Pro" w:cs="Arial"/>
        </w:rPr>
        <w:t>to replac</w:t>
      </w:r>
      <w:r w:rsidR="000275CC">
        <w:rPr>
          <w:rFonts w:ascii="Myriad Pro" w:hAnsi="Myriad Pro" w:cs="Arial"/>
        </w:rPr>
        <w:t>e</w:t>
      </w:r>
      <w:r>
        <w:rPr>
          <w:rFonts w:ascii="Myriad Pro" w:hAnsi="Myriad Pro" w:cs="Arial"/>
        </w:rPr>
        <w:t xml:space="preserve"> </w:t>
      </w:r>
      <w:r w:rsidR="000275CC">
        <w:rPr>
          <w:rFonts w:ascii="Myriad Pro" w:hAnsi="Myriad Pro" w:cs="Arial"/>
        </w:rPr>
        <w:t>street l</w:t>
      </w:r>
      <w:r>
        <w:rPr>
          <w:rFonts w:ascii="Myriad Pro" w:hAnsi="Myriad Pro" w:cs="Arial"/>
        </w:rPr>
        <w:t>ighting with LED</w:t>
      </w:r>
      <w:r w:rsidR="000275CC">
        <w:rPr>
          <w:rFonts w:ascii="Myriad Pro" w:hAnsi="Myriad Pro" w:cs="Arial"/>
        </w:rPr>
        <w:t>s</w:t>
      </w:r>
      <w:r w:rsidR="00FB0D7B">
        <w:rPr>
          <w:rFonts w:ascii="Myriad Pro" w:hAnsi="Myriad Pro" w:cs="Arial"/>
        </w:rPr>
        <w:t xml:space="preserve"> have reduced capital spend, CO2 consumption and saved £2.5m cumulative energy.</w:t>
      </w:r>
      <w:r w:rsidR="000275CC">
        <w:rPr>
          <w:rFonts w:ascii="Myriad Pro" w:hAnsi="Myriad Pro" w:cs="Arial"/>
        </w:rPr>
        <w:t xml:space="preserve"> </w:t>
      </w:r>
    </w:p>
    <w:p w:rsidR="00264761" w:rsidRDefault="00FB0D7B">
      <w:pPr>
        <w:rPr>
          <w:rStyle w:val="fontstyle01"/>
        </w:rPr>
      </w:pPr>
      <w:r>
        <w:rPr>
          <w:rFonts w:ascii="Myriad Pro" w:hAnsi="Myriad Pro" w:cs="Arial"/>
        </w:rPr>
        <w:t>(147</w:t>
      </w:r>
      <w:r w:rsidR="00770FB9">
        <w:rPr>
          <w:rFonts w:ascii="Myriad Pro" w:hAnsi="Myriad Pro" w:cs="Arial"/>
        </w:rPr>
        <w:t xml:space="preserve"> characters</w:t>
      </w:r>
      <w:r w:rsidR="000275CC">
        <w:rPr>
          <w:rFonts w:ascii="Myriad Pro" w:hAnsi="Myriad Pro" w:cs="Arial"/>
        </w:rPr>
        <w:t>)</w:t>
      </w:r>
      <w:r w:rsidR="000C0EA2">
        <w:rPr>
          <w:rFonts w:ascii="Myriad Pro" w:hAnsi="Myriad Pro" w:cs="Arial"/>
        </w:rPr>
        <w:t xml:space="preserve"> </w:t>
      </w:r>
    </w:p>
    <w:p w:rsidR="00B13D4D" w:rsidRDefault="00B13D4D">
      <w:pPr>
        <w:rPr>
          <w:rStyle w:val="fontstyle01"/>
        </w:rPr>
      </w:pPr>
    </w:p>
    <w:p w:rsidR="00124252" w:rsidRPr="00B13D4D" w:rsidRDefault="00124252">
      <w:pPr>
        <w:rPr>
          <w:rFonts w:ascii="Myriad Pro" w:hAnsi="Myriad Pro" w:cs="Arial"/>
          <w:b/>
        </w:rPr>
      </w:pPr>
      <w:r w:rsidRPr="00B13D4D">
        <w:rPr>
          <w:rFonts w:ascii="Myriad Pro" w:hAnsi="Myriad Pro" w:cs="Arial"/>
          <w:b/>
        </w:rPr>
        <w:t xml:space="preserve">500 words outlining the project </w:t>
      </w:r>
    </w:p>
    <w:p w:rsidR="00264761" w:rsidRDefault="00264761">
      <w:pPr>
        <w:rPr>
          <w:rStyle w:val="fontstyle01"/>
        </w:rPr>
      </w:pPr>
    </w:p>
    <w:p w:rsidR="00264761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>In 2014 South Gloucestershire</w:t>
      </w:r>
      <w:r>
        <w:rPr>
          <w:rFonts w:ascii="Myriad Pro" w:hAnsi="Myriad Pro" w:cs="Arial"/>
          <w:bCs/>
          <w:szCs w:val="20"/>
        </w:rPr>
        <w:t xml:space="preserve"> Council</w:t>
      </w:r>
      <w:r w:rsidRPr="00B923CA">
        <w:rPr>
          <w:rFonts w:ascii="Myriad Pro" w:hAnsi="Myriad Pro" w:cs="Arial"/>
          <w:bCs/>
          <w:szCs w:val="20"/>
        </w:rPr>
        <w:t xml:space="preserve"> embarked on a programme to replace street lighting lanterns with L</w:t>
      </w:r>
      <w:r w:rsidR="00E377C8">
        <w:rPr>
          <w:rFonts w:ascii="Myriad Pro" w:hAnsi="Myriad Pro" w:cs="Arial"/>
          <w:bCs/>
          <w:szCs w:val="20"/>
        </w:rPr>
        <w:t>ight Emitting Diode (L</w:t>
      </w:r>
      <w:r w:rsidRPr="00B923CA">
        <w:rPr>
          <w:rFonts w:ascii="Myriad Pro" w:hAnsi="Myriad Pro" w:cs="Arial"/>
          <w:bCs/>
          <w:szCs w:val="20"/>
        </w:rPr>
        <w:t>ED</w:t>
      </w:r>
      <w:r w:rsidR="00E377C8">
        <w:rPr>
          <w:rFonts w:ascii="Myriad Pro" w:hAnsi="Myriad Pro" w:cs="Arial"/>
          <w:bCs/>
          <w:szCs w:val="20"/>
        </w:rPr>
        <w:t>)</w:t>
      </w:r>
      <w:r w:rsidRPr="00B923CA">
        <w:rPr>
          <w:rFonts w:ascii="Myriad Pro" w:hAnsi="Myriad Pro" w:cs="Arial"/>
          <w:bCs/>
          <w:szCs w:val="20"/>
        </w:rPr>
        <w:t>. Unlike other councils South Gloucestershire opted for a 10 year sustainable replacement programme</w:t>
      </w:r>
      <w:r>
        <w:rPr>
          <w:rFonts w:ascii="Myriad Pro" w:hAnsi="Myriad Pro" w:cs="Arial"/>
          <w:bCs/>
          <w:szCs w:val="20"/>
        </w:rPr>
        <w:t>.</w:t>
      </w:r>
      <w:r w:rsidRPr="00B923CA">
        <w:rPr>
          <w:rFonts w:ascii="Myriad Pro" w:hAnsi="Myriad Pro" w:cs="Arial"/>
          <w:bCs/>
          <w:szCs w:val="20"/>
        </w:rPr>
        <w:t xml:space="preserve"> Now halfway through, </w:t>
      </w:r>
      <w:r w:rsidR="00E377C8">
        <w:rPr>
          <w:rFonts w:ascii="Myriad Pro" w:hAnsi="Myriad Pro" w:cs="Arial"/>
          <w:bCs/>
          <w:szCs w:val="20"/>
        </w:rPr>
        <w:t>the programme</w:t>
      </w:r>
      <w:r>
        <w:rPr>
          <w:rFonts w:ascii="Myriad Pro" w:hAnsi="Myriad Pro" w:cs="Arial"/>
          <w:bCs/>
          <w:szCs w:val="20"/>
        </w:rPr>
        <w:t xml:space="preserve"> has </w:t>
      </w:r>
      <w:r w:rsidR="00CB5DC3">
        <w:rPr>
          <w:rFonts w:ascii="Myriad Pro" w:hAnsi="Myriad Pro" w:cs="Arial"/>
          <w:bCs/>
          <w:szCs w:val="20"/>
        </w:rPr>
        <w:t xml:space="preserve">exceeded expectations </w:t>
      </w:r>
      <w:r w:rsidR="00E377C8">
        <w:rPr>
          <w:rFonts w:ascii="Myriad Pro" w:hAnsi="Myriad Pro" w:cs="Arial"/>
          <w:bCs/>
          <w:szCs w:val="20"/>
        </w:rPr>
        <w:t xml:space="preserve">by taking </w:t>
      </w:r>
      <w:r>
        <w:rPr>
          <w:rFonts w:ascii="Myriad Pro" w:hAnsi="Myriad Pro" w:cs="Arial"/>
          <w:bCs/>
          <w:szCs w:val="20"/>
        </w:rPr>
        <w:t>advan</w:t>
      </w:r>
      <w:r w:rsidR="00E377C8">
        <w:rPr>
          <w:rFonts w:ascii="Myriad Pro" w:hAnsi="Myriad Pro" w:cs="Arial"/>
          <w:bCs/>
          <w:szCs w:val="20"/>
        </w:rPr>
        <w:t xml:space="preserve">tage of evolving </w:t>
      </w:r>
      <w:r>
        <w:rPr>
          <w:rFonts w:ascii="Myriad Pro" w:hAnsi="Myriad Pro" w:cs="Arial"/>
          <w:bCs/>
          <w:szCs w:val="20"/>
        </w:rPr>
        <w:t>technology to reduce annual capital spend by over £700k</w:t>
      </w:r>
      <w:r w:rsidR="00E377C8">
        <w:rPr>
          <w:rFonts w:ascii="Myriad Pro" w:hAnsi="Myriad Pro" w:cs="Arial"/>
          <w:bCs/>
          <w:szCs w:val="20"/>
        </w:rPr>
        <w:t xml:space="preserve">. Alongside this the </w:t>
      </w:r>
      <w:r>
        <w:rPr>
          <w:rFonts w:ascii="Myriad Pro" w:hAnsi="Myriad Pro" w:cs="Arial"/>
          <w:bCs/>
          <w:szCs w:val="20"/>
        </w:rPr>
        <w:t xml:space="preserve">increased energy efficiency of </w:t>
      </w:r>
      <w:r w:rsidR="00E377C8">
        <w:rPr>
          <w:rFonts w:ascii="Myriad Pro" w:hAnsi="Myriad Pro" w:cs="Arial"/>
          <w:bCs/>
          <w:szCs w:val="20"/>
        </w:rPr>
        <w:t>LED l</w:t>
      </w:r>
      <w:r>
        <w:rPr>
          <w:rFonts w:ascii="Myriad Pro" w:hAnsi="Myriad Pro" w:cs="Arial"/>
          <w:bCs/>
          <w:szCs w:val="20"/>
        </w:rPr>
        <w:t xml:space="preserve">anterns </w:t>
      </w:r>
      <w:r w:rsidR="00E377C8">
        <w:rPr>
          <w:rFonts w:ascii="Myriad Pro" w:hAnsi="Myriad Pro" w:cs="Arial"/>
          <w:bCs/>
          <w:szCs w:val="20"/>
        </w:rPr>
        <w:t>has</w:t>
      </w:r>
      <w:r>
        <w:rPr>
          <w:rFonts w:ascii="Myriad Pro" w:hAnsi="Myriad Pro" w:cs="Arial"/>
          <w:bCs/>
          <w:szCs w:val="20"/>
        </w:rPr>
        <w:t xml:space="preserve"> reduce</w:t>
      </w:r>
      <w:r w:rsidR="00E377C8">
        <w:rPr>
          <w:rFonts w:ascii="Myriad Pro" w:hAnsi="Myriad Pro" w:cs="Arial"/>
          <w:bCs/>
          <w:szCs w:val="20"/>
        </w:rPr>
        <w:t>d</w:t>
      </w:r>
      <w:r>
        <w:rPr>
          <w:rFonts w:ascii="Myriad Pro" w:hAnsi="Myriad Pro" w:cs="Arial"/>
          <w:bCs/>
          <w:szCs w:val="20"/>
        </w:rPr>
        <w:t xml:space="preserve"> CO2 consumption and save</w:t>
      </w:r>
      <w:r w:rsidR="00E377C8">
        <w:rPr>
          <w:rFonts w:ascii="Myriad Pro" w:hAnsi="Myriad Pro" w:cs="Arial"/>
          <w:bCs/>
          <w:szCs w:val="20"/>
        </w:rPr>
        <w:t>d</w:t>
      </w:r>
      <w:r>
        <w:rPr>
          <w:rFonts w:ascii="Myriad Pro" w:hAnsi="Myriad Pro" w:cs="Arial"/>
          <w:bCs/>
          <w:szCs w:val="20"/>
        </w:rPr>
        <w:t xml:space="preserve"> £2.5m cumulative energy.</w:t>
      </w:r>
    </w:p>
    <w:p w:rsidR="00E377C8" w:rsidRDefault="00E377C8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 xml:space="preserve">In recent years funding from central government has reduced while demand to deliver </w:t>
      </w:r>
      <w:r w:rsidR="00AB2E34">
        <w:rPr>
          <w:rFonts w:ascii="Myriad Pro" w:hAnsi="Myriad Pro" w:cs="Arial"/>
          <w:bCs/>
          <w:szCs w:val="20"/>
        </w:rPr>
        <w:t xml:space="preserve">improved </w:t>
      </w:r>
      <w:r w:rsidRPr="00B923CA">
        <w:rPr>
          <w:rFonts w:ascii="Myriad Pro" w:hAnsi="Myriad Pro" w:cs="Arial"/>
          <w:bCs/>
          <w:szCs w:val="20"/>
        </w:rPr>
        <w:t>services has increased.  In response to these pressures</w:t>
      </w:r>
      <w:r w:rsidR="00AB2E34">
        <w:rPr>
          <w:rFonts w:ascii="Myriad Pro" w:hAnsi="Myriad Pro" w:cs="Arial"/>
          <w:bCs/>
          <w:szCs w:val="20"/>
        </w:rPr>
        <w:t>,</w:t>
      </w:r>
      <w:r w:rsidRPr="00B923CA">
        <w:rPr>
          <w:rFonts w:ascii="Myriad Pro" w:hAnsi="Myriad Pro" w:cs="Arial"/>
          <w:bCs/>
          <w:szCs w:val="20"/>
        </w:rPr>
        <w:t xml:space="preserve"> along with rising energy costs, advances in technology and ambition</w:t>
      </w:r>
      <w:r w:rsidR="00D607C5">
        <w:rPr>
          <w:rFonts w:ascii="Myriad Pro" w:hAnsi="Myriad Pro" w:cs="Arial"/>
          <w:bCs/>
          <w:szCs w:val="20"/>
        </w:rPr>
        <w:t>s</w:t>
      </w:r>
      <w:r w:rsidRPr="00B923CA">
        <w:rPr>
          <w:rFonts w:ascii="Myriad Pro" w:hAnsi="Myriad Pro" w:cs="Arial"/>
          <w:bCs/>
          <w:szCs w:val="20"/>
        </w:rPr>
        <w:t xml:space="preserve"> to provide more efficient and sustainable services South Gloucestershire Council reviewed its street lighting service. </w:t>
      </w: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 xml:space="preserve">The introduction of LED lanterns to replace the existing lanterns was widely recognised as a major energy saving initiative. The </w:t>
      </w:r>
      <w:r w:rsidR="00E377C8">
        <w:rPr>
          <w:rFonts w:ascii="Myriad Pro" w:hAnsi="Myriad Pro" w:cs="Arial"/>
          <w:bCs/>
          <w:szCs w:val="20"/>
        </w:rPr>
        <w:t>challenge</w:t>
      </w:r>
      <w:r w:rsidRPr="00B923CA">
        <w:rPr>
          <w:rFonts w:ascii="Myriad Pro" w:hAnsi="Myriad Pro" w:cs="Arial"/>
          <w:bCs/>
          <w:szCs w:val="20"/>
        </w:rPr>
        <w:t xml:space="preserve"> for </w:t>
      </w:r>
      <w:r w:rsidR="00D607C5">
        <w:rPr>
          <w:rFonts w:ascii="Myriad Pro" w:hAnsi="Myriad Pro" w:cs="Arial"/>
          <w:bCs/>
          <w:szCs w:val="20"/>
        </w:rPr>
        <w:t xml:space="preserve">the </w:t>
      </w:r>
      <w:r w:rsidRPr="00B923CA">
        <w:rPr>
          <w:rFonts w:ascii="Myriad Pro" w:hAnsi="Myriad Pro" w:cs="Arial"/>
          <w:bCs/>
          <w:szCs w:val="20"/>
        </w:rPr>
        <w:t xml:space="preserve">council was whether to replace the 30,000+ existing lanterns in one sweeping initiative or to take a longer term, more sustainable approach. </w:t>
      </w: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 xml:space="preserve">Street lighting accounts for 25% of the council’s energy spend. Replacing the lanterns in a short term </w:t>
      </w:r>
      <w:r w:rsidR="00E377C8">
        <w:rPr>
          <w:rFonts w:ascii="Myriad Pro" w:hAnsi="Myriad Pro" w:cs="Arial"/>
          <w:bCs/>
          <w:szCs w:val="20"/>
        </w:rPr>
        <w:t>‘quick win’</w:t>
      </w:r>
      <w:r w:rsidR="00D607C5">
        <w:rPr>
          <w:rFonts w:ascii="Myriad Pro" w:hAnsi="Myriad Pro" w:cs="Arial"/>
          <w:bCs/>
          <w:szCs w:val="20"/>
        </w:rPr>
        <w:t xml:space="preserve"> initiative</w:t>
      </w:r>
      <w:r w:rsidRPr="00B923CA">
        <w:rPr>
          <w:rFonts w:ascii="Myriad Pro" w:hAnsi="Myriad Pro" w:cs="Arial"/>
          <w:bCs/>
          <w:szCs w:val="20"/>
        </w:rPr>
        <w:t xml:space="preserve"> was estimated </w:t>
      </w:r>
      <w:r w:rsidR="00AB2E34">
        <w:rPr>
          <w:rFonts w:ascii="Myriad Pro" w:hAnsi="Myriad Pro" w:cs="Arial"/>
          <w:bCs/>
          <w:szCs w:val="20"/>
        </w:rPr>
        <w:t xml:space="preserve">at £14 million with </w:t>
      </w:r>
      <w:r w:rsidRPr="00B923CA">
        <w:rPr>
          <w:rFonts w:ascii="Myriad Pro" w:hAnsi="Myriad Pro" w:cs="Arial"/>
          <w:bCs/>
          <w:szCs w:val="20"/>
        </w:rPr>
        <w:t xml:space="preserve">immediate energy savings.  The alternative was to take a longer term ‘invest to save’ approach over a 10 year period. This approach would require reduced initial outlay, help manage waste and </w:t>
      </w:r>
      <w:r w:rsidR="00FB0D7B">
        <w:rPr>
          <w:rFonts w:ascii="Myriad Pro" w:hAnsi="Myriad Pro" w:cs="Arial"/>
          <w:bCs/>
          <w:szCs w:val="20"/>
        </w:rPr>
        <w:t>drip feed savings of £1 </w:t>
      </w:r>
      <w:r w:rsidRPr="00B923CA">
        <w:rPr>
          <w:rFonts w:ascii="Myriad Pro" w:hAnsi="Myriad Pro" w:cs="Arial"/>
          <w:bCs/>
          <w:szCs w:val="20"/>
        </w:rPr>
        <w:t xml:space="preserve">million per </w:t>
      </w:r>
      <w:r w:rsidR="00AB2E34" w:rsidRPr="00B923CA">
        <w:rPr>
          <w:rFonts w:ascii="Myriad Pro" w:hAnsi="Myriad Pro" w:cs="Arial"/>
          <w:bCs/>
          <w:szCs w:val="20"/>
        </w:rPr>
        <w:t>year</w:t>
      </w:r>
      <w:r w:rsidR="00AB2E34">
        <w:rPr>
          <w:rFonts w:ascii="Myriad Pro" w:hAnsi="Myriad Pro" w:cs="Arial"/>
          <w:bCs/>
          <w:szCs w:val="20"/>
        </w:rPr>
        <w:t>,</w:t>
      </w:r>
      <w:r w:rsidR="00AB2E34" w:rsidRPr="00B923CA">
        <w:rPr>
          <w:rFonts w:ascii="Myriad Pro" w:hAnsi="Myriad Pro" w:cs="Arial"/>
          <w:bCs/>
          <w:szCs w:val="20"/>
        </w:rPr>
        <w:t xml:space="preserve"> which</w:t>
      </w:r>
      <w:r w:rsidRPr="00B923CA">
        <w:rPr>
          <w:rFonts w:ascii="Myriad Pro" w:hAnsi="Myriad Pro" w:cs="Arial"/>
          <w:bCs/>
          <w:szCs w:val="20"/>
        </w:rPr>
        <w:t xml:space="preserve"> would gradually increase over the life of the programme as more LED lanterns were installed.  </w:t>
      </w:r>
    </w:p>
    <w:p w:rsidR="00264761" w:rsidRPr="00B923CA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</w:p>
    <w:p w:rsidR="00264761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 xml:space="preserve">An evaluation model </w:t>
      </w:r>
      <w:r w:rsidR="005B6653">
        <w:rPr>
          <w:rFonts w:ascii="Myriad Pro" w:hAnsi="Myriad Pro" w:cs="Arial"/>
          <w:bCs/>
          <w:szCs w:val="20"/>
        </w:rPr>
        <w:t xml:space="preserve">was </w:t>
      </w:r>
      <w:r w:rsidRPr="00B923CA">
        <w:rPr>
          <w:rFonts w:ascii="Myriad Pro" w:hAnsi="Myriad Pro" w:cs="Arial"/>
          <w:bCs/>
          <w:szCs w:val="20"/>
        </w:rPr>
        <w:t xml:space="preserve">used to </w:t>
      </w:r>
      <w:r w:rsidR="005B6653">
        <w:rPr>
          <w:rFonts w:ascii="Myriad Pro" w:hAnsi="Myriad Pro" w:cs="Arial"/>
          <w:bCs/>
          <w:szCs w:val="20"/>
        </w:rPr>
        <w:t xml:space="preserve">comprehensively </w:t>
      </w:r>
      <w:r w:rsidRPr="00B923CA">
        <w:rPr>
          <w:rFonts w:ascii="Myriad Pro" w:hAnsi="Myriad Pro" w:cs="Arial"/>
          <w:bCs/>
          <w:szCs w:val="20"/>
        </w:rPr>
        <w:t xml:space="preserve">assess </w:t>
      </w:r>
      <w:r w:rsidR="00D607C5">
        <w:rPr>
          <w:rFonts w:ascii="Myriad Pro" w:hAnsi="Myriad Pro" w:cs="Arial"/>
          <w:bCs/>
          <w:szCs w:val="20"/>
        </w:rPr>
        <w:t>both</w:t>
      </w:r>
      <w:r w:rsidRPr="00B923CA">
        <w:rPr>
          <w:rFonts w:ascii="Myriad Pro" w:hAnsi="Myriad Pro" w:cs="Arial"/>
          <w:bCs/>
          <w:szCs w:val="20"/>
        </w:rPr>
        <w:t xml:space="preserve"> strategi</w:t>
      </w:r>
      <w:r w:rsidR="00E377C8">
        <w:rPr>
          <w:rFonts w:ascii="Myriad Pro" w:hAnsi="Myriad Pro" w:cs="Arial"/>
          <w:bCs/>
          <w:szCs w:val="20"/>
        </w:rPr>
        <w:t>es</w:t>
      </w:r>
      <w:r w:rsidR="005B6653">
        <w:rPr>
          <w:rFonts w:ascii="Myriad Pro" w:hAnsi="Myriad Pro" w:cs="Arial"/>
          <w:bCs/>
          <w:szCs w:val="20"/>
        </w:rPr>
        <w:t>.</w:t>
      </w:r>
      <w:r w:rsidR="00E377C8">
        <w:rPr>
          <w:rFonts w:ascii="Myriad Pro" w:hAnsi="Myriad Pro" w:cs="Arial"/>
          <w:bCs/>
          <w:szCs w:val="20"/>
        </w:rPr>
        <w:t xml:space="preserve"> </w:t>
      </w:r>
      <w:r w:rsidRPr="00B923CA">
        <w:rPr>
          <w:rFonts w:ascii="Myriad Pro" w:hAnsi="Myriad Pro" w:cs="Arial"/>
          <w:bCs/>
          <w:szCs w:val="20"/>
        </w:rPr>
        <w:t xml:space="preserve">Conclusions </w:t>
      </w:r>
      <w:r w:rsidR="004B72C1">
        <w:rPr>
          <w:rFonts w:ascii="Myriad Pro" w:hAnsi="Myriad Pro" w:cs="Arial"/>
          <w:bCs/>
          <w:szCs w:val="20"/>
        </w:rPr>
        <w:t>showed a project of 5</w:t>
      </w:r>
      <w:r w:rsidRPr="00B923CA">
        <w:rPr>
          <w:rFonts w:ascii="Myriad Pro" w:hAnsi="Myriad Pro" w:cs="Arial"/>
          <w:bCs/>
          <w:szCs w:val="20"/>
        </w:rPr>
        <w:t xml:space="preserve"> years o</w:t>
      </w:r>
      <w:r>
        <w:rPr>
          <w:rFonts w:ascii="Myriad Pro" w:hAnsi="Myriad Pro" w:cs="Arial"/>
          <w:bCs/>
          <w:szCs w:val="20"/>
        </w:rPr>
        <w:t xml:space="preserve">r less would offer the greatest </w:t>
      </w:r>
      <w:r w:rsidRPr="00B923CA">
        <w:rPr>
          <w:rFonts w:ascii="Myriad Pro" w:hAnsi="Myriad Pro" w:cs="Arial"/>
          <w:bCs/>
          <w:szCs w:val="20"/>
        </w:rPr>
        <w:t>short term financial savings. However, it clearly d</w:t>
      </w:r>
      <w:r w:rsidR="004B72C1">
        <w:rPr>
          <w:rFonts w:ascii="Myriad Pro" w:hAnsi="Myriad Pro" w:cs="Arial"/>
          <w:bCs/>
          <w:szCs w:val="20"/>
        </w:rPr>
        <w:t xml:space="preserve">emonstrated that going beyond the 3-5 year budget cycle </w:t>
      </w:r>
      <w:r w:rsidRPr="00B923CA">
        <w:rPr>
          <w:rFonts w:ascii="Myriad Pro" w:hAnsi="Myriad Pro" w:cs="Arial"/>
          <w:bCs/>
          <w:szCs w:val="20"/>
        </w:rPr>
        <w:t xml:space="preserve">offered a more realistic, </w:t>
      </w:r>
      <w:r w:rsidRPr="00B923CA">
        <w:rPr>
          <w:rFonts w:ascii="Myriad Pro" w:hAnsi="Myriad Pro" w:cs="Arial"/>
          <w:bCs/>
          <w:szCs w:val="20"/>
        </w:rPr>
        <w:lastRenderedPageBreak/>
        <w:t xml:space="preserve">cost </w:t>
      </w:r>
      <w:r>
        <w:rPr>
          <w:rFonts w:ascii="Myriad Pro" w:hAnsi="Myriad Pro" w:cs="Arial"/>
          <w:bCs/>
          <w:szCs w:val="20"/>
        </w:rPr>
        <w:t>efficient way to manage resources and assets.</w:t>
      </w:r>
      <w:r w:rsidR="005B6653">
        <w:rPr>
          <w:rFonts w:ascii="Myriad Pro" w:hAnsi="Myriad Pro" w:cs="Arial"/>
          <w:bCs/>
          <w:szCs w:val="20"/>
        </w:rPr>
        <w:t xml:space="preserve">  In particular negative impacts to staff of adopting the short term programme.</w:t>
      </w:r>
    </w:p>
    <w:p w:rsidR="00264761" w:rsidRDefault="00264761" w:rsidP="00E377C8">
      <w:pPr>
        <w:spacing w:after="0" w:line="240" w:lineRule="auto"/>
        <w:jc w:val="both"/>
        <w:rPr>
          <w:rFonts w:ascii="Myriad Pro" w:hAnsi="Myriad Pro" w:cs="Arial"/>
          <w:bCs/>
          <w:szCs w:val="20"/>
        </w:rPr>
      </w:pPr>
    </w:p>
    <w:p w:rsidR="004B72C1" w:rsidRDefault="00D607C5" w:rsidP="004B72C1">
      <w:pPr>
        <w:shd w:val="clear" w:color="auto" w:fill="FFFFFF"/>
        <w:spacing w:after="0" w:line="240" w:lineRule="auto"/>
        <w:rPr>
          <w:rFonts w:ascii="Myriad Pro" w:hAnsi="Myriad Pro" w:cs="Arial"/>
          <w:bCs/>
          <w:szCs w:val="20"/>
        </w:rPr>
      </w:pPr>
      <w:r>
        <w:rPr>
          <w:rFonts w:ascii="Myriad Pro" w:hAnsi="Myriad Pro" w:cs="Arial"/>
          <w:bCs/>
          <w:szCs w:val="20"/>
        </w:rPr>
        <w:t xml:space="preserve">Challenges included </w:t>
      </w:r>
      <w:r w:rsidR="004B72C1" w:rsidRPr="008C7F0C">
        <w:rPr>
          <w:rFonts w:ascii="Myriad Pro" w:hAnsi="Myriad Pro" w:cs="Arial"/>
          <w:bCs/>
          <w:szCs w:val="20"/>
        </w:rPr>
        <w:t>breaking down the culture of short term thinking and managing</w:t>
      </w:r>
      <w:r>
        <w:rPr>
          <w:rFonts w:ascii="Myriad Pro" w:hAnsi="Myriad Pro" w:cs="Arial"/>
          <w:bCs/>
          <w:szCs w:val="20"/>
        </w:rPr>
        <w:t xml:space="preserve"> stakeholder</w:t>
      </w:r>
      <w:r w:rsidR="004B72C1" w:rsidRPr="008C7F0C">
        <w:rPr>
          <w:rFonts w:ascii="Myriad Pro" w:hAnsi="Myriad Pro" w:cs="Arial"/>
          <w:bCs/>
          <w:szCs w:val="20"/>
        </w:rPr>
        <w:t xml:space="preserve"> expectations. This has been </w:t>
      </w:r>
      <w:r w:rsidR="004B72C1">
        <w:rPr>
          <w:rFonts w:ascii="Myriad Pro" w:hAnsi="Myriad Pro" w:cs="Arial"/>
          <w:bCs/>
          <w:szCs w:val="20"/>
        </w:rPr>
        <w:t xml:space="preserve">achieved </w:t>
      </w:r>
      <w:r w:rsidR="004B72C1" w:rsidRPr="008C7F0C">
        <w:rPr>
          <w:rFonts w:ascii="Myriad Pro" w:hAnsi="Myriad Pro" w:cs="Arial"/>
          <w:bCs/>
          <w:szCs w:val="20"/>
        </w:rPr>
        <w:t xml:space="preserve">through regularly sharing information internally and </w:t>
      </w:r>
      <w:r w:rsidR="000C0EA2">
        <w:rPr>
          <w:rFonts w:ascii="Myriad Pro" w:hAnsi="Myriad Pro" w:cs="Arial"/>
          <w:bCs/>
          <w:szCs w:val="20"/>
        </w:rPr>
        <w:t>stakeholder engagement</w:t>
      </w:r>
      <w:r w:rsidR="004B72C1" w:rsidRPr="008C7F0C">
        <w:rPr>
          <w:rFonts w:ascii="Myriad Pro" w:hAnsi="Myriad Pro" w:cs="Arial"/>
          <w:bCs/>
          <w:szCs w:val="20"/>
        </w:rPr>
        <w:t xml:space="preserve">.  </w:t>
      </w:r>
      <w:r w:rsidR="004B72C1">
        <w:rPr>
          <w:rFonts w:ascii="Myriad Pro" w:hAnsi="Myriad Pro" w:cs="Arial"/>
          <w:bCs/>
          <w:szCs w:val="20"/>
        </w:rPr>
        <w:t xml:space="preserve">Face to face </w:t>
      </w:r>
      <w:r w:rsidR="000C0EA2">
        <w:rPr>
          <w:rFonts w:ascii="Myriad Pro" w:hAnsi="Myriad Pro" w:cs="Arial"/>
          <w:bCs/>
          <w:szCs w:val="20"/>
        </w:rPr>
        <w:t xml:space="preserve">communication </w:t>
      </w:r>
      <w:r w:rsidR="004B72C1">
        <w:rPr>
          <w:rFonts w:ascii="Myriad Pro" w:hAnsi="Myriad Pro" w:cs="Arial"/>
          <w:bCs/>
          <w:szCs w:val="20"/>
        </w:rPr>
        <w:t>with the parish council</w:t>
      </w:r>
      <w:r w:rsidR="004B72C1" w:rsidRPr="008C7F0C">
        <w:rPr>
          <w:rFonts w:ascii="Myriad Pro" w:hAnsi="Myriad Pro" w:cs="Arial"/>
          <w:bCs/>
          <w:szCs w:val="20"/>
        </w:rPr>
        <w:t xml:space="preserve">s </w:t>
      </w:r>
      <w:r w:rsidR="004B72C1">
        <w:rPr>
          <w:rFonts w:ascii="Myriad Pro" w:hAnsi="Myriad Pro" w:cs="Arial"/>
          <w:bCs/>
          <w:szCs w:val="20"/>
        </w:rPr>
        <w:t xml:space="preserve">prior to installations in their areas </w:t>
      </w:r>
      <w:r w:rsidR="004B72C1" w:rsidRPr="008C7F0C">
        <w:rPr>
          <w:rFonts w:ascii="Myriad Pro" w:hAnsi="Myriad Pro" w:cs="Arial"/>
          <w:bCs/>
          <w:szCs w:val="20"/>
        </w:rPr>
        <w:t>is an example of this.</w:t>
      </w:r>
    </w:p>
    <w:p w:rsidR="00D607C5" w:rsidRDefault="00D607C5" w:rsidP="004B72C1">
      <w:pPr>
        <w:spacing w:after="0" w:line="240" w:lineRule="auto"/>
        <w:rPr>
          <w:rFonts w:ascii="Myriad Pro" w:hAnsi="Myriad Pro" w:cs="Arial"/>
          <w:bCs/>
          <w:szCs w:val="20"/>
        </w:rPr>
      </w:pPr>
    </w:p>
    <w:p w:rsidR="00770FB9" w:rsidRDefault="00770FB9" w:rsidP="004B72C1">
      <w:pPr>
        <w:spacing w:after="0" w:line="240" w:lineRule="auto"/>
        <w:rPr>
          <w:rFonts w:ascii="Myriad Pro" w:hAnsi="Myriad Pro" w:cs="Arial"/>
          <w:bCs/>
          <w:szCs w:val="20"/>
        </w:rPr>
      </w:pPr>
      <w:r w:rsidRPr="007A02EC">
        <w:rPr>
          <w:rFonts w:ascii="Myriad Pro" w:hAnsi="Myriad Pro" w:cs="Arial"/>
          <w:noProof/>
          <w:szCs w:val="20"/>
          <w:lang w:eastAsia="en-GB"/>
        </w:rPr>
        <w:drawing>
          <wp:inline distT="0" distB="0" distL="0" distR="0">
            <wp:extent cx="5725160" cy="2059305"/>
            <wp:effectExtent l="0" t="0" r="8890" b="0"/>
            <wp:docPr id="4" name="Picture 4" descr="I:\STREET CARE\STREET LIGHTING\LED Replacement\6 - Correspondence\Marketing\Photos\Before &amp; After\Char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STREET CARE\STREET LIGHTING\LED Replacement\6 - Correspondence\Marketing\Photos\Before &amp; After\Charfie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B9" w:rsidRDefault="00770FB9" w:rsidP="004B72C1">
      <w:pPr>
        <w:spacing w:after="0" w:line="240" w:lineRule="auto"/>
        <w:rPr>
          <w:rFonts w:ascii="Myriad Pro" w:hAnsi="Myriad Pro" w:cs="Arial"/>
          <w:b/>
          <w:bCs/>
          <w:szCs w:val="20"/>
        </w:rPr>
      </w:pPr>
    </w:p>
    <w:p w:rsidR="00D607C5" w:rsidRPr="005B6653" w:rsidRDefault="00D607C5" w:rsidP="004B72C1">
      <w:pPr>
        <w:spacing w:after="0" w:line="240" w:lineRule="auto"/>
        <w:rPr>
          <w:rFonts w:ascii="Myriad Pro" w:hAnsi="Myriad Pro" w:cs="Arial"/>
          <w:b/>
          <w:bCs/>
          <w:szCs w:val="20"/>
        </w:rPr>
      </w:pPr>
      <w:r w:rsidRPr="005B6653">
        <w:rPr>
          <w:rFonts w:ascii="Myriad Pro" w:hAnsi="Myriad Pro" w:cs="Arial"/>
          <w:b/>
          <w:bCs/>
          <w:szCs w:val="20"/>
        </w:rPr>
        <w:t>Benefits of the 10 year programme</w:t>
      </w:r>
    </w:p>
    <w:p w:rsidR="00770FB9" w:rsidRPr="00770FB9" w:rsidRDefault="00770FB9" w:rsidP="00770FB9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Myriad Pro" w:hAnsi="Myriad Pro" w:cs="Arial"/>
          <w:bCs/>
          <w:szCs w:val="20"/>
        </w:rPr>
      </w:pPr>
      <w:r w:rsidRPr="00CB5DC3">
        <w:rPr>
          <w:rFonts w:ascii="Myriad Pro" w:hAnsi="Myriad Pro" w:cs="Arial"/>
          <w:bCs/>
          <w:szCs w:val="20"/>
        </w:rPr>
        <w:t>The ability to forecast future savings</w:t>
      </w:r>
      <w:r>
        <w:rPr>
          <w:rFonts w:ascii="Myriad Pro" w:hAnsi="Myriad Pro" w:cs="Arial"/>
          <w:bCs/>
          <w:szCs w:val="20"/>
        </w:rPr>
        <w:t xml:space="preserve"> in </w:t>
      </w:r>
      <w:r w:rsidRPr="00CB5DC3">
        <w:rPr>
          <w:rFonts w:ascii="Myriad Pro" w:hAnsi="Myriad Pro" w:cs="Arial"/>
          <w:bCs/>
          <w:szCs w:val="20"/>
        </w:rPr>
        <w:t xml:space="preserve">budget planning.  </w:t>
      </w:r>
    </w:p>
    <w:p w:rsidR="000275CC" w:rsidRDefault="004B72C1" w:rsidP="000275C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Myriad Pro" w:hAnsi="Myriad Pro" w:cs="Arial"/>
          <w:bCs/>
          <w:szCs w:val="20"/>
        </w:rPr>
      </w:pPr>
      <w:r w:rsidRPr="00CB5DC3">
        <w:rPr>
          <w:rFonts w:ascii="Myriad Pro" w:hAnsi="Myriad Pro" w:cs="Arial"/>
          <w:bCs/>
          <w:szCs w:val="20"/>
        </w:rPr>
        <w:t xml:space="preserve">Staff redundancies have been avoided as a result of successfully managing the supply chain and utilising available resource. </w:t>
      </w:r>
    </w:p>
    <w:p w:rsidR="000275CC" w:rsidRPr="000275CC" w:rsidRDefault="000275CC" w:rsidP="000275C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Myriad Pro" w:hAnsi="Myriad Pro" w:cs="Arial"/>
          <w:bCs/>
          <w:szCs w:val="20"/>
        </w:rPr>
      </w:pPr>
      <w:r>
        <w:rPr>
          <w:rFonts w:ascii="Myriad Pro" w:hAnsi="Myriad Pro" w:cs="Arial"/>
          <w:bCs/>
          <w:szCs w:val="20"/>
        </w:rPr>
        <w:t>T</w:t>
      </w:r>
      <w:r w:rsidRPr="000275CC">
        <w:rPr>
          <w:rFonts w:ascii="Myriad Pro" w:hAnsi="Myriad Pro" w:cs="Arial"/>
          <w:bCs/>
          <w:szCs w:val="20"/>
        </w:rPr>
        <w:t xml:space="preserve">he lifetime of existing assets </w:t>
      </w:r>
      <w:r>
        <w:rPr>
          <w:rFonts w:ascii="Myriad Pro" w:hAnsi="Myriad Pro" w:cs="Arial"/>
          <w:bCs/>
          <w:szCs w:val="20"/>
        </w:rPr>
        <w:t xml:space="preserve">was maximised </w:t>
      </w:r>
      <w:r w:rsidRPr="000275CC">
        <w:rPr>
          <w:rFonts w:ascii="Myriad Pro" w:hAnsi="Myriad Pro" w:cs="Arial"/>
          <w:bCs/>
          <w:szCs w:val="20"/>
        </w:rPr>
        <w:t>and unnecessary waste</w:t>
      </w:r>
      <w:r>
        <w:rPr>
          <w:rFonts w:ascii="Myriad Pro" w:hAnsi="Myriad Pro" w:cs="Arial"/>
          <w:bCs/>
          <w:szCs w:val="20"/>
        </w:rPr>
        <w:t xml:space="preserve"> avoided</w:t>
      </w:r>
      <w:r w:rsidRPr="000275CC">
        <w:rPr>
          <w:rFonts w:ascii="Myriad Pro" w:hAnsi="Myriad Pro" w:cs="Arial"/>
          <w:bCs/>
          <w:szCs w:val="20"/>
        </w:rPr>
        <w:t xml:space="preserve">. </w:t>
      </w:r>
    </w:p>
    <w:p w:rsidR="00CB5DC3" w:rsidRDefault="00CB5DC3" w:rsidP="00CB5DC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Myriad Pro" w:hAnsi="Myriad Pro" w:cs="Arial"/>
          <w:bCs/>
          <w:szCs w:val="20"/>
        </w:rPr>
      </w:pPr>
      <w:r w:rsidRPr="00CB5DC3">
        <w:rPr>
          <w:rFonts w:ascii="Myriad Pro" w:hAnsi="Myriad Pro" w:cs="Arial"/>
          <w:bCs/>
          <w:szCs w:val="20"/>
        </w:rPr>
        <w:t xml:space="preserve">The maintenance team have stripped and re-used </w:t>
      </w:r>
      <w:r>
        <w:rPr>
          <w:rFonts w:ascii="Myriad Pro" w:hAnsi="Myriad Pro" w:cs="Arial"/>
          <w:bCs/>
          <w:szCs w:val="20"/>
        </w:rPr>
        <w:t>over 5,000 items</w:t>
      </w:r>
      <w:r w:rsidR="000275CC">
        <w:rPr>
          <w:rFonts w:ascii="Myriad Pro" w:hAnsi="Myriad Pro" w:cs="Arial"/>
          <w:bCs/>
          <w:szCs w:val="20"/>
        </w:rPr>
        <w:t xml:space="preserve">, </w:t>
      </w:r>
      <w:r>
        <w:rPr>
          <w:rFonts w:ascii="Myriad Pro" w:hAnsi="Myriad Pro" w:cs="Arial"/>
          <w:bCs/>
          <w:szCs w:val="20"/>
        </w:rPr>
        <w:t>additionally sav</w:t>
      </w:r>
      <w:r w:rsidR="000275CC">
        <w:rPr>
          <w:rFonts w:ascii="Myriad Pro" w:hAnsi="Myriad Pro" w:cs="Arial"/>
          <w:bCs/>
          <w:szCs w:val="20"/>
        </w:rPr>
        <w:t>ing</w:t>
      </w:r>
      <w:r>
        <w:rPr>
          <w:rFonts w:ascii="Myriad Pro" w:hAnsi="Myriad Pro" w:cs="Arial"/>
          <w:bCs/>
          <w:szCs w:val="20"/>
        </w:rPr>
        <w:t xml:space="preserve"> </w:t>
      </w:r>
      <w:r w:rsidRPr="00CB5DC3">
        <w:rPr>
          <w:rFonts w:ascii="Myriad Pro" w:hAnsi="Myriad Pro" w:cs="Arial"/>
          <w:bCs/>
          <w:szCs w:val="20"/>
        </w:rPr>
        <w:t>over £500k in material costs.</w:t>
      </w:r>
    </w:p>
    <w:p w:rsidR="004B72C1" w:rsidRPr="00CB5DC3" w:rsidRDefault="00CB5DC3" w:rsidP="00CB5DC3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Myriad Pro" w:hAnsi="Myriad Pro" w:cs="Arial"/>
          <w:bCs/>
          <w:szCs w:val="20"/>
        </w:rPr>
      </w:pPr>
      <w:r w:rsidRPr="00CB5DC3">
        <w:rPr>
          <w:rFonts w:ascii="Myriad Pro" w:hAnsi="Myriad Pro" w:cs="Arial"/>
          <w:bCs/>
          <w:szCs w:val="20"/>
        </w:rPr>
        <w:t>New s</w:t>
      </w:r>
      <w:r w:rsidR="004B72C1" w:rsidRPr="00CB5DC3">
        <w:rPr>
          <w:rFonts w:ascii="Myriad Pro" w:hAnsi="Myriad Pro" w:cs="Arial"/>
          <w:bCs/>
          <w:szCs w:val="20"/>
        </w:rPr>
        <w:t xml:space="preserve">upply chain </w:t>
      </w:r>
      <w:r w:rsidR="005B6653" w:rsidRPr="00CB5DC3">
        <w:rPr>
          <w:rFonts w:ascii="Myriad Pro" w:hAnsi="Myriad Pro" w:cs="Arial"/>
          <w:bCs/>
          <w:szCs w:val="20"/>
        </w:rPr>
        <w:t>components are</w:t>
      </w:r>
      <w:r w:rsidR="004B72C1" w:rsidRPr="00CB5DC3">
        <w:rPr>
          <w:rFonts w:ascii="Myriad Pro" w:hAnsi="Myriad Pro" w:cs="Arial"/>
          <w:bCs/>
          <w:szCs w:val="20"/>
        </w:rPr>
        <w:t xml:space="preserve"> managed through a procurement framework providing suppliers with notice of requirements. The framework provides flexibility to change products and take advantage of advances in technology.</w:t>
      </w:r>
      <w:r w:rsidRPr="00CB5DC3">
        <w:rPr>
          <w:rFonts w:ascii="Myriad Pro" w:hAnsi="Myriad Pro" w:cs="Arial"/>
          <w:bCs/>
          <w:szCs w:val="20"/>
        </w:rPr>
        <w:t xml:space="preserve"> This has generated a</w:t>
      </w:r>
      <w:r w:rsidR="00C26665">
        <w:rPr>
          <w:rFonts w:ascii="Myriad Pro" w:hAnsi="Myriad Pro" w:cs="Arial"/>
          <w:bCs/>
          <w:szCs w:val="20"/>
        </w:rPr>
        <w:t>nnual capital</w:t>
      </w:r>
      <w:r w:rsidRPr="00CB5DC3">
        <w:rPr>
          <w:rFonts w:ascii="Myriad Pro" w:hAnsi="Myriad Pro" w:cs="Arial"/>
          <w:bCs/>
          <w:szCs w:val="20"/>
        </w:rPr>
        <w:t xml:space="preserve"> saving</w:t>
      </w:r>
      <w:r w:rsidR="00C26665">
        <w:rPr>
          <w:rFonts w:ascii="Myriad Pro" w:hAnsi="Myriad Pro" w:cs="Arial"/>
          <w:bCs/>
          <w:szCs w:val="20"/>
        </w:rPr>
        <w:t>s</w:t>
      </w:r>
      <w:r w:rsidRPr="00CB5DC3">
        <w:rPr>
          <w:rFonts w:ascii="Myriad Pro" w:hAnsi="Myriad Pro" w:cs="Arial"/>
          <w:bCs/>
          <w:szCs w:val="20"/>
        </w:rPr>
        <w:t xml:space="preserve"> of £700k </w:t>
      </w:r>
      <w:r>
        <w:rPr>
          <w:rFonts w:ascii="Myriad Pro" w:hAnsi="Myriad Pro" w:cs="Arial"/>
          <w:bCs/>
          <w:szCs w:val="20"/>
        </w:rPr>
        <w:t>(2014</w:t>
      </w:r>
      <w:r w:rsidR="00C26665">
        <w:rPr>
          <w:rFonts w:ascii="Myriad Pro" w:hAnsi="Myriad Pro" w:cs="Arial"/>
          <w:bCs/>
          <w:szCs w:val="20"/>
        </w:rPr>
        <w:t>:</w:t>
      </w:r>
      <w:r w:rsidRPr="00CB5DC3">
        <w:rPr>
          <w:rFonts w:ascii="Myriad Pro" w:hAnsi="Myriad Pro" w:cs="Arial"/>
          <w:bCs/>
          <w:szCs w:val="20"/>
        </w:rPr>
        <w:t xml:space="preserve"> £466 per lantern</w:t>
      </w:r>
      <w:r>
        <w:rPr>
          <w:rFonts w:ascii="Myriad Pro" w:hAnsi="Myriad Pro" w:cs="Arial"/>
          <w:bCs/>
          <w:szCs w:val="20"/>
        </w:rPr>
        <w:t>, 2018</w:t>
      </w:r>
      <w:r w:rsidR="00C26665">
        <w:rPr>
          <w:rFonts w:ascii="Myriad Pro" w:hAnsi="Myriad Pro" w:cs="Arial"/>
          <w:bCs/>
          <w:szCs w:val="20"/>
        </w:rPr>
        <w:t>:</w:t>
      </w:r>
      <w:r w:rsidRPr="00CB5DC3">
        <w:rPr>
          <w:rFonts w:ascii="Myriad Pro" w:hAnsi="Myriad Pro" w:cs="Arial"/>
          <w:bCs/>
          <w:szCs w:val="20"/>
        </w:rPr>
        <w:t xml:space="preserve"> £233 per lantern).</w:t>
      </w:r>
    </w:p>
    <w:p w:rsidR="005B6653" w:rsidRDefault="005B6653" w:rsidP="00CB5DC3">
      <w:pPr>
        <w:spacing w:after="0" w:line="240" w:lineRule="auto"/>
        <w:rPr>
          <w:rFonts w:ascii="Myriad Pro" w:hAnsi="Myriad Pro" w:cs="Arial"/>
          <w:bCs/>
          <w:szCs w:val="20"/>
        </w:rPr>
      </w:pPr>
    </w:p>
    <w:p w:rsidR="00770FB9" w:rsidRDefault="00770FB9" w:rsidP="00CB5DC3">
      <w:pPr>
        <w:spacing w:after="0" w:line="240" w:lineRule="auto"/>
        <w:rPr>
          <w:rFonts w:ascii="Myriad Pro" w:hAnsi="Myriad Pro" w:cs="Arial"/>
          <w:bCs/>
          <w:szCs w:val="20"/>
        </w:rPr>
      </w:pPr>
      <w:r w:rsidRPr="00D85494">
        <w:rPr>
          <w:noProof/>
          <w:lang w:eastAsia="en-GB"/>
        </w:rPr>
        <w:drawing>
          <wp:inline distT="0" distB="0" distL="0" distR="0">
            <wp:extent cx="5697855" cy="2304415"/>
            <wp:effectExtent l="0" t="0" r="17145" b="63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0FB9" w:rsidRDefault="00770FB9" w:rsidP="00CB5DC3">
      <w:pPr>
        <w:spacing w:after="0" w:line="240" w:lineRule="auto"/>
        <w:rPr>
          <w:rFonts w:ascii="Myriad Pro" w:hAnsi="Myriad Pro" w:cs="Arial"/>
          <w:bCs/>
          <w:szCs w:val="20"/>
        </w:rPr>
      </w:pPr>
    </w:p>
    <w:p w:rsidR="00770FB9" w:rsidRDefault="00770FB9" w:rsidP="00CB5DC3">
      <w:pPr>
        <w:spacing w:after="0" w:line="240" w:lineRule="auto"/>
        <w:rPr>
          <w:rFonts w:ascii="Myriad Pro" w:hAnsi="Myriad Pro" w:cs="Arial"/>
          <w:bCs/>
          <w:szCs w:val="20"/>
        </w:rPr>
      </w:pPr>
      <w:r w:rsidRPr="00D85494">
        <w:rPr>
          <w:noProof/>
          <w:lang w:eastAsia="en-GB"/>
        </w:rPr>
        <w:lastRenderedPageBreak/>
        <w:drawing>
          <wp:inline distT="0" distB="0" distL="0" distR="0">
            <wp:extent cx="5729605" cy="2714625"/>
            <wp:effectExtent l="0" t="0" r="4445" b="952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FB9" w:rsidRDefault="00770FB9" w:rsidP="00CB5DC3">
      <w:pPr>
        <w:spacing w:after="0" w:line="240" w:lineRule="auto"/>
        <w:rPr>
          <w:rFonts w:ascii="Myriad Pro" w:hAnsi="Myriad Pro" w:cs="Arial"/>
          <w:bCs/>
          <w:szCs w:val="20"/>
        </w:rPr>
      </w:pPr>
    </w:p>
    <w:p w:rsidR="00264761" w:rsidRDefault="00264761" w:rsidP="00CB5DC3">
      <w:pPr>
        <w:spacing w:after="0" w:line="240" w:lineRule="auto"/>
        <w:rPr>
          <w:rFonts w:ascii="Myriad Pro" w:hAnsi="Myriad Pro" w:cs="Arial"/>
          <w:bCs/>
          <w:szCs w:val="20"/>
        </w:rPr>
      </w:pPr>
      <w:r w:rsidRPr="00B923CA">
        <w:rPr>
          <w:rFonts w:ascii="Myriad Pro" w:hAnsi="Myriad Pro" w:cs="Arial"/>
          <w:bCs/>
          <w:szCs w:val="20"/>
        </w:rPr>
        <w:t>To date South Gloucestershire is not aware of any other councils adop</w:t>
      </w:r>
      <w:r w:rsidR="000275CC">
        <w:rPr>
          <w:rFonts w:ascii="Myriad Pro" w:hAnsi="Myriad Pro" w:cs="Arial"/>
          <w:bCs/>
          <w:szCs w:val="20"/>
        </w:rPr>
        <w:t>ting the same strategy. Now five years o</w:t>
      </w:r>
      <w:r w:rsidRPr="00B923CA">
        <w:rPr>
          <w:rFonts w:ascii="Myriad Pro" w:hAnsi="Myriad Pro" w:cs="Arial"/>
          <w:bCs/>
          <w:szCs w:val="20"/>
        </w:rPr>
        <w:t xml:space="preserve">n, the longer term programme is clearly demonstrating how it is possible to deliver </w:t>
      </w:r>
      <w:r w:rsidR="00CB5DC3">
        <w:rPr>
          <w:rFonts w:ascii="Myriad Pro" w:hAnsi="Myriad Pro" w:cs="Arial"/>
          <w:bCs/>
          <w:szCs w:val="20"/>
        </w:rPr>
        <w:t>clean growth in a sustainable way</w:t>
      </w:r>
      <w:r>
        <w:rPr>
          <w:rFonts w:ascii="Myriad Pro" w:hAnsi="Myriad Pro" w:cs="Arial"/>
          <w:bCs/>
          <w:szCs w:val="20"/>
        </w:rPr>
        <w:t xml:space="preserve">. </w:t>
      </w:r>
    </w:p>
    <w:p w:rsidR="00264761" w:rsidRPr="00585E1B" w:rsidRDefault="00264761" w:rsidP="004B72C1">
      <w:pPr>
        <w:spacing w:after="0" w:line="240" w:lineRule="auto"/>
        <w:jc w:val="both"/>
        <w:rPr>
          <w:rFonts w:ascii="Myriad Pro" w:hAnsi="Myriad Pro" w:cs="Arial"/>
          <w:b/>
          <w:bCs/>
          <w:u w:val="single"/>
          <w:lang w:val="en-US"/>
        </w:rPr>
      </w:pPr>
    </w:p>
    <w:p w:rsidR="005B6653" w:rsidRPr="00B13D4D" w:rsidRDefault="00C26665" w:rsidP="004B72C1">
      <w:pPr>
        <w:spacing w:after="0" w:line="240" w:lineRule="auto"/>
        <w:rPr>
          <w:rFonts w:ascii="Myriad Pro" w:hAnsi="Myriad Pro" w:cs="Arial"/>
          <w:bCs/>
          <w:szCs w:val="20"/>
        </w:rPr>
      </w:pPr>
      <w:r w:rsidRPr="00B13D4D">
        <w:rPr>
          <w:rFonts w:ascii="Myriad Pro" w:hAnsi="Myriad Pro" w:cs="Arial"/>
          <w:bCs/>
          <w:szCs w:val="20"/>
        </w:rPr>
        <w:t>49</w:t>
      </w:r>
      <w:r w:rsidR="00F82E44">
        <w:rPr>
          <w:rFonts w:ascii="Myriad Pro" w:hAnsi="Myriad Pro" w:cs="Arial"/>
          <w:bCs/>
          <w:szCs w:val="20"/>
        </w:rPr>
        <w:t>8</w:t>
      </w:r>
      <w:r w:rsidR="00B13D4D" w:rsidRPr="00B13D4D">
        <w:rPr>
          <w:rFonts w:ascii="Myriad Pro" w:hAnsi="Myriad Pro" w:cs="Arial"/>
          <w:bCs/>
          <w:szCs w:val="20"/>
        </w:rPr>
        <w:t xml:space="preserve"> words</w:t>
      </w:r>
    </w:p>
    <w:p w:rsidR="005B6653" w:rsidRDefault="005B6653" w:rsidP="004B72C1">
      <w:pPr>
        <w:spacing w:after="0" w:line="240" w:lineRule="auto"/>
        <w:rPr>
          <w:rStyle w:val="fontstyle01"/>
        </w:rPr>
      </w:pPr>
    </w:p>
    <w:p w:rsidR="00E655F3" w:rsidRDefault="00E655F3" w:rsidP="00E655F3">
      <w:pPr>
        <w:spacing w:after="0" w:line="240" w:lineRule="auto"/>
        <w:rPr>
          <w:rStyle w:val="fontstyle01"/>
        </w:rPr>
      </w:pPr>
    </w:p>
    <w:p w:rsidR="00E655F3" w:rsidRDefault="00E655F3" w:rsidP="00E655F3">
      <w:pPr>
        <w:spacing w:after="0" w:line="240" w:lineRule="auto"/>
        <w:rPr>
          <w:rStyle w:val="fontstyle01"/>
        </w:rPr>
      </w:pPr>
    </w:p>
    <w:p w:rsidR="00E655F3" w:rsidRDefault="00E655F3" w:rsidP="00E655F3">
      <w:pPr>
        <w:spacing w:after="0" w:line="240" w:lineRule="auto"/>
        <w:rPr>
          <w:rStyle w:val="fontstyle01"/>
        </w:rPr>
      </w:pPr>
    </w:p>
    <w:sectPr w:rsidR="00E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180E"/>
    <w:multiLevelType w:val="hybridMultilevel"/>
    <w:tmpl w:val="0A4A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24C1B"/>
    <w:multiLevelType w:val="hybridMultilevel"/>
    <w:tmpl w:val="CF7C7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52"/>
    <w:rsid w:val="000275CC"/>
    <w:rsid w:val="0009596E"/>
    <w:rsid w:val="000C0EA2"/>
    <w:rsid w:val="00124252"/>
    <w:rsid w:val="00264761"/>
    <w:rsid w:val="0039250A"/>
    <w:rsid w:val="004B72C1"/>
    <w:rsid w:val="005B6653"/>
    <w:rsid w:val="00770FB9"/>
    <w:rsid w:val="00A75C04"/>
    <w:rsid w:val="00AB2E34"/>
    <w:rsid w:val="00B13D4D"/>
    <w:rsid w:val="00C0771C"/>
    <w:rsid w:val="00C26665"/>
    <w:rsid w:val="00CB5DC3"/>
    <w:rsid w:val="00D36A74"/>
    <w:rsid w:val="00D607C5"/>
    <w:rsid w:val="00E377C8"/>
    <w:rsid w:val="00E655F3"/>
    <w:rsid w:val="00F82E44"/>
    <w:rsid w:val="00FB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3CB70-DA8F-42C4-9A60-71A08774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242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2425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242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4761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0C0EA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0C0EA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rbt\Desktop\Street%20Lighting%20Energy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rbt\Desktop\Street%20Lighting%20Energ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Energy Consumption Comparison [kWh]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'Energy Usage'!$T$59:$T$61</c:f>
              <c:strCache>
                <c:ptCount val="3"/>
                <c:pt idx="0">
                  <c:v>Actual energy consumption from invoices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cat>
            <c:strRef>
              <c:f>'Energy Usage'!$S$62:$S$79</c:f>
              <c:strCache>
                <c:ptCount val="7"/>
                <c:pt idx="0">
                  <c:v>12/13</c:v>
                </c:pt>
                <c:pt idx="1">
                  <c:v>13/14</c:v>
                </c:pt>
                <c:pt idx="2">
                  <c:v>14/15</c:v>
                </c:pt>
                <c:pt idx="3">
                  <c:v>15/16</c:v>
                </c:pt>
                <c:pt idx="4">
                  <c:v>16/17</c:v>
                </c:pt>
                <c:pt idx="5">
                  <c:v>17/18</c:v>
                </c:pt>
                <c:pt idx="6">
                  <c:v>18/19</c:v>
                </c:pt>
              </c:strCache>
              <c:extLst/>
            </c:strRef>
          </c:cat>
          <c:val>
            <c:numRef>
              <c:f>'Energy Usage'!$T$62:$T$79</c:f>
              <c:numCache>
                <c:formatCode>#,##0</c:formatCode>
                <c:ptCount val="7"/>
                <c:pt idx="0">
                  <c:v>14439163</c:v>
                </c:pt>
                <c:pt idx="1">
                  <c:v>12831122</c:v>
                </c:pt>
                <c:pt idx="2">
                  <c:v>11671854</c:v>
                </c:pt>
                <c:pt idx="3">
                  <c:v>10365493</c:v>
                </c:pt>
                <c:pt idx="4">
                  <c:v>9237263</c:v>
                </c:pt>
                <c:pt idx="5">
                  <c:v>8398379</c:v>
                </c:pt>
                <c:pt idx="6">
                  <c:v>7746115.5154158454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05BF-4A5F-8351-F1F9259C6622}"/>
            </c:ext>
          </c:extLst>
        </c:ser>
        <c:ser>
          <c:idx val="1"/>
          <c:order val="1"/>
          <c:tx>
            <c:strRef>
              <c:f>'Energy Usage'!$AA$59:$AA$61</c:f>
              <c:strCache>
                <c:ptCount val="3"/>
                <c:pt idx="0">
                  <c:v>"If We Had Done Nothing" energy consumption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'Energy Usage'!$S$62:$S$79</c:f>
              <c:strCache>
                <c:ptCount val="7"/>
                <c:pt idx="0">
                  <c:v>12/13</c:v>
                </c:pt>
                <c:pt idx="1">
                  <c:v>13/14</c:v>
                </c:pt>
                <c:pt idx="2">
                  <c:v>14/15</c:v>
                </c:pt>
                <c:pt idx="3">
                  <c:v>15/16</c:v>
                </c:pt>
                <c:pt idx="4">
                  <c:v>16/17</c:v>
                </c:pt>
                <c:pt idx="5">
                  <c:v>17/18</c:v>
                </c:pt>
                <c:pt idx="6">
                  <c:v>18/19</c:v>
                </c:pt>
              </c:strCache>
              <c:extLst/>
            </c:strRef>
          </c:cat>
          <c:val>
            <c:numRef>
              <c:f>'Energy Usage'!$AA$62:$AA$79</c:f>
              <c:numCache>
                <c:formatCode>#,##0</c:formatCode>
                <c:ptCount val="7"/>
                <c:pt idx="0">
                  <c:v>14439163</c:v>
                </c:pt>
                <c:pt idx="1">
                  <c:v>12831122</c:v>
                </c:pt>
                <c:pt idx="2">
                  <c:v>13059902.696715731</c:v>
                </c:pt>
                <c:pt idx="3">
                  <c:v>13291413.978873068</c:v>
                </c:pt>
                <c:pt idx="4">
                  <c:v>13527029.232936691</c:v>
                </c:pt>
                <c:pt idx="5">
                  <c:v>13766821.209509725</c:v>
                </c:pt>
                <c:pt idx="6">
                  <c:v>14010863.948836252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05BF-4A5F-8351-F1F9259C6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1089064"/>
        <c:axId val="511091808"/>
      </c:lineChart>
      <c:catAx>
        <c:axId val="511089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091808"/>
        <c:crosses val="autoZero"/>
        <c:auto val="1"/>
        <c:lblAlgn val="ctr"/>
        <c:lblOffset val="100"/>
        <c:noMultiLvlLbl val="0"/>
      </c:catAx>
      <c:valAx>
        <c:axId val="511091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089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aseline="0"/>
              <a:t>Financial Comparison </a:t>
            </a:r>
            <a:r>
              <a:rPr lang="en-GB"/>
              <a:t>[£]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'Energy Usage'!$T$84:$T$86</c:f>
              <c:strCache>
                <c:ptCount val="3"/>
                <c:pt idx="0">
                  <c:v>Actual cost from invoices</c:v>
                </c:pt>
              </c:strCache>
            </c:strRef>
          </c:tx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cat>
            <c:strRef>
              <c:f>'Energy Usage'!$S$87:$S$97</c:f>
              <c:strCache>
                <c:ptCount val="7"/>
                <c:pt idx="0">
                  <c:v>12/13</c:v>
                </c:pt>
                <c:pt idx="1">
                  <c:v>13/14</c:v>
                </c:pt>
                <c:pt idx="2">
                  <c:v>14/15</c:v>
                </c:pt>
                <c:pt idx="3">
                  <c:v>15/16</c:v>
                </c:pt>
                <c:pt idx="4">
                  <c:v>16/17</c:v>
                </c:pt>
                <c:pt idx="5">
                  <c:v>17/18</c:v>
                </c:pt>
                <c:pt idx="6">
                  <c:v>18/19</c:v>
                </c:pt>
              </c:strCache>
              <c:extLst/>
            </c:strRef>
          </c:cat>
          <c:val>
            <c:numRef>
              <c:f>'Energy Usage'!$T$87:$T$97</c:f>
              <c:numCache>
                <c:formatCode>"£"#,##0</c:formatCode>
                <c:ptCount val="7"/>
                <c:pt idx="0">
                  <c:v>1472120.9634</c:v>
                </c:pt>
                <c:pt idx="1">
                  <c:v>1426020.6900000002</c:v>
                </c:pt>
                <c:pt idx="2">
                  <c:v>1418880.77</c:v>
                </c:pt>
                <c:pt idx="3">
                  <c:v>1254256.92</c:v>
                </c:pt>
                <c:pt idx="4">
                  <c:v>1109879.9099999999</c:v>
                </c:pt>
                <c:pt idx="5">
                  <c:v>1164723.58</c:v>
                </c:pt>
                <c:pt idx="6">
                  <c:v>1069000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C9A7-43AC-957C-750144F470A7}"/>
            </c:ext>
          </c:extLst>
        </c:ser>
        <c:ser>
          <c:idx val="1"/>
          <c:order val="1"/>
          <c:tx>
            <c:strRef>
              <c:f>'Energy Usage'!$AA$84:$AA$86</c:f>
              <c:strCache>
                <c:ptCount val="3"/>
                <c:pt idx="0">
                  <c:v>Cost "If We Had Done Nothing"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'Energy Usage'!$S$87:$S$97</c:f>
              <c:strCache>
                <c:ptCount val="7"/>
                <c:pt idx="0">
                  <c:v>12/13</c:v>
                </c:pt>
                <c:pt idx="1">
                  <c:v>13/14</c:v>
                </c:pt>
                <c:pt idx="2">
                  <c:v>14/15</c:v>
                </c:pt>
                <c:pt idx="3">
                  <c:v>15/16</c:v>
                </c:pt>
                <c:pt idx="4">
                  <c:v>16/17</c:v>
                </c:pt>
                <c:pt idx="5">
                  <c:v>17/18</c:v>
                </c:pt>
                <c:pt idx="6">
                  <c:v>18/19</c:v>
                </c:pt>
              </c:strCache>
              <c:extLst/>
            </c:strRef>
          </c:cat>
          <c:val>
            <c:numRef>
              <c:f>'Energy Usage'!$AA$87:$AA$97</c:f>
              <c:numCache>
                <c:formatCode>"£"#,##0</c:formatCode>
                <c:ptCount val="7"/>
                <c:pt idx="0">
                  <c:v>1472120.9634</c:v>
                </c:pt>
                <c:pt idx="1">
                  <c:v>1426020.6900000002</c:v>
                </c:pt>
                <c:pt idx="2">
                  <c:v>1587617.9392272292</c:v>
                </c:pt>
                <c:pt idx="3">
                  <c:v>1608302.466615556</c:v>
                </c:pt>
                <c:pt idx="4">
                  <c:v>1625305.8928406762</c:v>
                </c:pt>
                <c:pt idx="5">
                  <c:v>1909242.4007490133</c:v>
                </c:pt>
                <c:pt idx="6">
                  <c:v>1933564.4467860598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C9A7-43AC-957C-750144F47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1187016"/>
        <c:axId val="511186232"/>
      </c:lineChart>
      <c:catAx>
        <c:axId val="511187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186232"/>
        <c:crosses val="autoZero"/>
        <c:auto val="1"/>
        <c:lblAlgn val="ctr"/>
        <c:lblOffset val="100"/>
        <c:noMultiLvlLbl val="0"/>
      </c:catAx>
      <c:valAx>
        <c:axId val="511186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1187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Dyke</dc:creator>
  <cp:keywords/>
  <dc:description/>
  <cp:lastModifiedBy>Helen Leach</cp:lastModifiedBy>
  <cp:revision>2</cp:revision>
  <dcterms:created xsi:type="dcterms:W3CDTF">2019-05-22T08:57:00Z</dcterms:created>
  <dcterms:modified xsi:type="dcterms:W3CDTF">2019-05-22T08:57:00Z</dcterms:modified>
</cp:coreProperties>
</file>